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ANEXO VII – Coordenação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bookmarkStart w:colFirst="0" w:colLast="0" w:name="_heading=h.7qb2hf22d13o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312.0" w:type="dxa"/>
        <w:jc w:val="righ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000"/>
      </w:tblPr>
      <w:tblGrid>
        <w:gridCol w:w="2581"/>
        <w:gridCol w:w="2876"/>
        <w:gridCol w:w="2346"/>
        <w:gridCol w:w="2509"/>
        <w:tblGridChange w:id="0">
          <w:tblGrid>
            <w:gridCol w:w="2581"/>
            <w:gridCol w:w="2876"/>
            <w:gridCol w:w="2346"/>
            <w:gridCol w:w="2509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ADMINISTRATIVA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4472c4" w:space="0" w:sz="4" w:val="single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  <w:shd w:fill="4472c4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Monitoria Voluntária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Reginaldo Pereira de Souza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Institucional</w:t>
            </w:r>
          </w:p>
        </w:tc>
        <w:tc>
          <w:tcPr>
            <w:shd w:fill="dae9f7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Alta Floresta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Gustavo Caione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Local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monitoria.afl@unemat.br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Alto Araguaia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Adriana de Oliveira Dias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Coordenadora Local</w:t>
            </w:r>
          </w:p>
        </w:tc>
        <w:tc>
          <w:tcPr>
            <w:shd w:fill="dae9f7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monitoria.aia@unemat.br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Barra do Bugres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Leo Manoel Lopes da Silva Garcia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monitoria.bbg@unemat.br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Cáceres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Mayra Aparecida Côrtes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Coordenadora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monitoria.cac@unemat.br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Colíder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Danilo Rodrigo Possati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monitoria.col@unemat.br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Diamantino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Denise Silva Nunes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Coordenadora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monitoria.dnt@unemat.br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Juara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Ariele Mazoti Crubelati Musialak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hanging="2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Coordenadora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monitoria.jua@unemat.br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do Médio Araguaia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Ernestina Noronha de Lima Sousa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Coordenadora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monitoria.mar@unemat.br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Nova Mutum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monitoria.nvm@unemat.br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Nova Xavantina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Ariane Ghelfi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Coordenadora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monitoria.nvx@unemat.br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Pontes e Lacerda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Edson Júnior Heitor de Paula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monitoria.pla@unemat.br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Sinop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Erico Fernando de Oliveira Martins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monitoria.snp@unemat.br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de Tangará da Serra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Juliana Benevenuto Reis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Coordenadora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monitoria.tga@unemat.br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Diretoria de Educação a Distância – DEAD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Antônio Carlos Pereira dos Santos Junior (Linkon)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Local</w:t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  <w:right w:color="8eaadb" w:space="0" w:sz="4" w:val="single"/>
            </w:tcBorders>
            <w:shd w:fill="dae9f7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monitoria.dead@unemat.br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6838" w:w="11906" w:orient="portrait"/>
      <w:pgMar w:bottom="1701" w:top="851" w:left="851" w:right="851" w:header="709" w:footer="1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312.0" w:type="dxa"/>
      <w:jc w:val="left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8021"/>
      <w:gridCol w:w="2291"/>
      <w:tblGridChange w:id="0">
        <w:tblGrid>
          <w:gridCol w:w="8021"/>
          <w:gridCol w:w="2291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br w:type="textWrapping"/>
            <w:t xml:space="preserve">Pró-Reitoria de Ensino de Graduação - PROEG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Tancredo Neves, 1095, CEP: 78.200-000, Cáceres - MT</w:t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023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Tel/PABX: (65) 3221 0036 – 3221 0030- www.unemat.br – Email: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ape@unemat.br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|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monitoria@unemat.br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51560" cy="410845"/>
                <wp:effectExtent b="0" l="0" r="0" t="0"/>
                <wp:docPr descr="http://portal.unemat.br/media/images/Comunicacao/Logoripo%20Unemat%20-%20Colorido.png" id="1026" name="image3.png"/>
                <a:graphic>
                  <a:graphicData uri="http://schemas.openxmlformats.org/drawingml/2006/picture">
                    <pic:pic>
                      <pic:nvPicPr>
                        <pic:cNvPr descr="http://portal.unemat.br/media/images/Comunicacao/Logoripo%20Unemat%20-%20Colorido.png"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Edital n. 001/2026 - UNEMAT/PROEG/APE – MONITORIA VOLUNTÁRIA – SELEÇÃO DE MONITOR VOLUNTÁRIO PARA ATUAR EM 2026/1 e 2026/2         </w:t>
      <w:tab/>
      <w:t xml:space="preserve">        Página  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65f9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6238.999999999998" w:type="dxa"/>
      <w:jc w:val="left"/>
      <w:tblInd w:w="-108.0" w:type="dxa"/>
      <w:tblLayout w:type="fixed"/>
      <w:tblLook w:val="0000"/>
    </w:tblPr>
    <w:tblGrid>
      <w:gridCol w:w="2263"/>
      <w:gridCol w:w="8193"/>
      <w:gridCol w:w="5783"/>
      <w:tblGridChange w:id="0">
        <w:tblGrid>
          <w:gridCol w:w="2263"/>
          <w:gridCol w:w="8193"/>
          <w:gridCol w:w="578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418465</wp:posOffset>
                </wp:positionH>
                <wp:positionV relativeFrom="paragraph">
                  <wp:posOffset>-44449</wp:posOffset>
                </wp:positionV>
                <wp:extent cx="554355" cy="550545"/>
                <wp:effectExtent b="0" l="0" r="0" t="0"/>
                <wp:wrapSquare wrapText="bothSides" distB="0" distT="0" distL="114935" distR="114935"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PRÓ-REITORIA DE ENSINO DE 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b w:val="0"/>
              <w:bCs w:val="0"/>
              <w:smallCaps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ASSESSORIA DE GESTÃO DE POLÍTICAS EDUCACIONAIS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413384</wp:posOffset>
                </wp:positionH>
                <wp:positionV relativeFrom="paragraph">
                  <wp:posOffset>45720</wp:posOffset>
                </wp:positionV>
                <wp:extent cx="554355" cy="582930"/>
                <wp:effectExtent b="0" l="0" r="0" t="0"/>
                <wp:wrapSquare wrapText="bothSides" distB="0" distT="0" distL="114935" distR="114935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40" w:lineRule="auto"/>
      <w:ind w:left="2880" w:leftChars="-1" w:rightChars="0" w:hanging="72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3600" w:leftChars="-1" w:rightChars="0" w:hanging="72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60" w:before="240" w:line="240" w:lineRule="auto"/>
      <w:ind w:left="4320" w:leftChars="-1" w:rightChars="0" w:hanging="72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5040" w:leftChars="-1" w:rightChars="0" w:hanging="72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5760" w:leftChars="-1" w:rightChars="0" w:hanging="72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60" w:before="240" w:line="240" w:lineRule="auto"/>
      <w:ind w:left="6480" w:leftChars="-1" w:rightChars="0" w:hanging="720" w:firstLineChars="-1"/>
      <w:textDirection w:val="btLr"/>
      <w:textAlignment w:val="top"/>
      <w:outlineLvl w:val="8"/>
    </w:pPr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GrandeÁrea">
    <w:name w:val="Grande Área"/>
    <w:basedOn w:val="Normal"/>
    <w:next w:val="GrandeÁre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0000ff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Intervalo">
    <w:name w:val="Intervalo"/>
    <w:basedOn w:val="Normal"/>
    <w:next w:val="Interval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ÁreadeAvaliação">
    <w:name w:val="Área de Avaliação"/>
    <w:basedOn w:val="Estilo1"/>
    <w:next w:val="ÁreadeAvaliaçã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 (W1)" w:eastAsia="Times New Roman" w:hAnsi="Arial (W1)"/>
      <w:b w:val="1"/>
      <w:color w:val="ff0000"/>
      <w:w w:val="100"/>
      <w:position w:val="-1"/>
      <w:sz w:val="28"/>
      <w:szCs w:val="20"/>
      <w:effect w:val="none"/>
      <w:vertAlign w:val="subscript"/>
      <w:cs w:val="0"/>
      <w:em w:val="none"/>
      <w:lang w:bidi="ar-SA" w:eastAsia="pt-BR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Univers (WN)" w:eastAsia="Times New Roman" w:hAnsi="Univers (WN)"/>
      <w:b w:val="1"/>
      <w:w w:val="100"/>
      <w:position w:val="-1"/>
      <w:sz w:val="24"/>
      <w:szCs w:val="20"/>
      <w:effect w:val="none"/>
      <w:vertAlign w:val="subscript"/>
      <w:cs w:val="0"/>
      <w:em w:val="none"/>
      <w:lang w:bidi="ar-SA" w:eastAsia="pt-BR" w:val="pt-BR"/>
    </w:rPr>
  </w:style>
  <w:style w:type="paragraph" w:styleId="Área">
    <w:name w:val="Área"/>
    <w:basedOn w:val="Normal"/>
    <w:next w:val="Áre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área">
    <w:name w:val="Subárea"/>
    <w:basedOn w:val="Normal"/>
    <w:next w:val="Subáre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0" w:line="240" w:lineRule="auto"/>
      <w:ind w:right="-518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eastAsia="Times New Roman" w:hAnsi="Times New Roman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drão">
    <w:name w:val="Padrão"/>
    <w:next w:val="Padrão"/>
    <w:autoRedefine w:val="0"/>
    <w:hidden w:val="0"/>
    <w:qFormat w:val="0"/>
    <w:pPr>
      <w:suppressAutoHyphens w:val="0"/>
      <w:spacing w:after="120" w:before="120"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GradeMédia3-Ênfase3">
    <w:name w:val="Grade Média 3 - Ênfase 3"/>
    <w:basedOn w:val="Tabelanormal"/>
    <w:next w:val="GradeMédia3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adeMédia3-Ênfase3"/>
      <w:tblStyleRowBandSize w:val="1"/>
      <w:tblStyleColBandSize w:val="1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Título5Char">
    <w:name w:val="Título 5 Char"/>
    <w:next w:val="Título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en-US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ListaClara-Ênfase3">
    <w:name w:val="Lista Clara - Ênfase 3"/>
    <w:basedOn w:val="Tabelanormal"/>
    <w:next w:val="ListaClara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staClara-Ênfase3"/>
      <w:tblStyleRowBandSize w:val="1"/>
      <w:tblStyleColBandSize w:val="1"/>
      <w:jc w:val="left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auto" w:space="0" w:sz="0" w:val="none"/>
        <w:insideV w:color="auto" w:space="0" w:sz="0" w:val="none"/>
      </w:tblBorders>
    </w:tblPr>
  </w:style>
  <w:style w:type="table" w:styleId="Cronograma">
    <w:name w:val="Cronograma"/>
    <w:basedOn w:val="Tabelaemlista4"/>
    <w:next w:val="Cronogram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/>
    </w:rPr>
    <w:tblPr>
      <w:tblStyle w:val="Cronograma"/>
      <w:jc w:val="left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auto" w:space="0" w:sz="0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mentoClaro-Ênfase11">
    <w:name w:val="Sombreamento Claro - Ênfase 11"/>
    <w:basedOn w:val="Tabelanormal"/>
    <w:next w:val="SombreamentoClaro-Ênfas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365f91"/>
      <w:w w:val="100"/>
      <w:position w:val="-1"/>
      <w:effect w:val="none"/>
      <w:vertAlign w:val="baseline"/>
      <w:cs w:val="0"/>
      <w:em w:val="none"/>
      <w:lang/>
    </w:rPr>
    <w:tblPr>
      <w:tblStyle w:val="SombreamentoClaro-Ênfase11"/>
      <w:tblStyleRowBandSize w:val="1"/>
      <w:tblStyleColBandSize w:val="1"/>
      <w:jc w:val="left"/>
      <w:tblBorders>
        <w:top w:color="4f81bd" w:space="0" w:sz="8" w:val="single"/>
        <w:left w:color="auto" w:space="0" w:sz="0" w:val="none"/>
        <w:bottom w:color="4f81bd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ListaEscura-Ênfase2">
    <w:name w:val="Lista Escura - Ênfase 2"/>
    <w:basedOn w:val="Tabelanormal"/>
    <w:next w:val="ListaEscura-Ênfase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ffff"/>
      <w:w w:val="100"/>
      <w:position w:val="-1"/>
      <w:effect w:val="none"/>
      <w:vertAlign w:val="baseline"/>
      <w:cs w:val="0"/>
      <w:em w:val="none"/>
      <w:lang/>
    </w:rPr>
    <w:tblPr>
      <w:tblStyle w:val="ListaEscura-Ênfase2"/>
      <w:tblStyleRowBandSize w:val="1"/>
      <w:tblStyleColBandSize w:val="1"/>
      <w:jc w:val="left"/>
    </w:tblPr>
  </w:style>
  <w:style w:type="table" w:styleId="Tabelaemlista4">
    <w:name w:val="Tabela em lista 4"/>
    <w:basedOn w:val="Tabelanormal"/>
    <w:next w:val="Tabelaemlista4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4"/>
      <w:jc w:val="left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auto" w:space="0" w:sz="0" w:val="none"/>
      </w:tblBorders>
    </w:tblPr>
  </w:style>
  <w:style w:type="table" w:styleId="SombreamentoClaro-Ênfase3">
    <w:name w:val="Sombreamento Claro - Ênfase 3"/>
    <w:basedOn w:val="Tabelanormal"/>
    <w:next w:val="SombreamentoClaro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f6228"/>
      <w:w w:val="100"/>
      <w:position w:val="-1"/>
      <w:effect w:val="none"/>
      <w:vertAlign w:val="baseline"/>
      <w:cs w:val="0"/>
      <w:em w:val="none"/>
      <w:lang/>
    </w:rPr>
    <w:tblPr>
      <w:tblStyle w:val="SombreamentoClaro-Ênfase3"/>
      <w:tblStyleRowBandSize w:val="1"/>
      <w:tblStyleColBandSize w:val="1"/>
      <w:jc w:val="left"/>
      <w:tblBorders>
        <w:top w:color="9bbb59" w:space="0" w:sz="8" w:val="single"/>
        <w:left w:color="auto" w:space="0" w:sz="0" w:val="none"/>
        <w:bottom w:color="9bbb59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11">
    <w:name w:val="Parágrafo da Lista11"/>
    <w:basedOn w:val="Normal"/>
    <w:next w:val="ParágrafodaLista11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MençãoPendente1">
    <w:name w:val="Menção Pendente1"/>
    <w:next w:val="MençãoPendente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comgrade2">
    <w:name w:val="Tabela com grade2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2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deGrade4-Ênfase1">
    <w:name w:val="Tabela de Grade 4 - Ênfase 1"/>
    <w:basedOn w:val="Tabelanormal"/>
    <w:next w:val="TabeladeGrade4-Ênfas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deGrade4-Ênfase1"/>
      <w:tblStyleRowBandSize w:val="1"/>
      <w:tblStyleColBandSize w:val="1"/>
      <w:jc w:val="left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monitoria.tga@unemat.br" TargetMode="External"/><Relationship Id="rId11" Type="http://schemas.openxmlformats.org/officeDocument/2006/relationships/hyperlink" Target="mailto:monitoria.cac@unemat.br" TargetMode="External"/><Relationship Id="rId22" Type="http://schemas.openxmlformats.org/officeDocument/2006/relationships/header" Target="header1.xml"/><Relationship Id="rId10" Type="http://schemas.openxmlformats.org/officeDocument/2006/relationships/hyperlink" Target="mailto:monitoria.bbg@unemat.br" TargetMode="External"/><Relationship Id="rId21" Type="http://schemas.openxmlformats.org/officeDocument/2006/relationships/hyperlink" Target="mailto:monitoria.dead@unemat.br" TargetMode="External"/><Relationship Id="rId13" Type="http://schemas.openxmlformats.org/officeDocument/2006/relationships/hyperlink" Target="mailto:monitoria.dnt@unemat.br" TargetMode="External"/><Relationship Id="rId12" Type="http://schemas.openxmlformats.org/officeDocument/2006/relationships/hyperlink" Target="mailto:monitoria.col@unemat.br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nitoria.aia@unemat.br" TargetMode="External"/><Relationship Id="rId15" Type="http://schemas.openxmlformats.org/officeDocument/2006/relationships/hyperlink" Target="mailto:monitoria.mar@unemat.br" TargetMode="External"/><Relationship Id="rId14" Type="http://schemas.openxmlformats.org/officeDocument/2006/relationships/hyperlink" Target="mailto:monitoria.jua@unemat.br" TargetMode="External"/><Relationship Id="rId17" Type="http://schemas.openxmlformats.org/officeDocument/2006/relationships/hyperlink" Target="mailto:monitoria.nvx@unemat.br" TargetMode="External"/><Relationship Id="rId16" Type="http://schemas.openxmlformats.org/officeDocument/2006/relationships/hyperlink" Target="mailto:monitoria.nvm@unemat.br" TargetMode="External"/><Relationship Id="rId5" Type="http://schemas.openxmlformats.org/officeDocument/2006/relationships/styles" Target="styles.xml"/><Relationship Id="rId19" Type="http://schemas.openxmlformats.org/officeDocument/2006/relationships/hyperlink" Target="mailto:monitoria.snp@unemat.br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monitoria.pla@unemat.br" TargetMode="External"/><Relationship Id="rId7" Type="http://schemas.openxmlformats.org/officeDocument/2006/relationships/hyperlink" Target="mailto:monitoria@unemat.br" TargetMode="External"/><Relationship Id="rId8" Type="http://schemas.openxmlformats.org/officeDocument/2006/relationships/hyperlink" Target="mailto:monitoria.afl@unemat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pe@unemat.br" TargetMode="External"/><Relationship Id="rId2" Type="http://schemas.openxmlformats.org/officeDocument/2006/relationships/hyperlink" Target="mailto:monitoria@unemat.br" TargetMode="External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HJgKGBVf7N9K6hFRgqwSNYw6w==">CgMxLjAyDmguN3FiMmhmMjJkMTNvOAByITFBZVdCTzJ0WVhZTlQwQVN1cHM3b3NwZy1NZzNYc3F4dQ==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2025-12-10T11:56:00Z</dcterms:created>
  <dc:creator>Solange A.C. Alcântara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DocHome">
    <vt:i4>-1975061218</vt:i4>
  </property>
</Properties>
</file>