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3261"/>
        <w:gridCol w:w="708"/>
        <w:gridCol w:w="814"/>
        <w:gridCol w:w="1628"/>
        <w:gridCol w:w="4362"/>
        <w:tblGridChange w:id="0">
          <w:tblGrid>
            <w:gridCol w:w="3261"/>
            <w:gridCol w:w="708"/>
            <w:gridCol w:w="814"/>
            <w:gridCol w:w="1628"/>
            <w:gridCol w:w="436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INFORMAÇÕES PARA PAGAMENTO DO AUXÍLIO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 _____._____._____-____</w:t>
            </w:r>
          </w:p>
        </w:tc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Nascimento:_____/_____/________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Expedição:____/____/________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Sexo: (   ) Masc.    (   ) Fem.</w:t>
            </w:r>
          </w:p>
        </w:tc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Telefones (Residência/Celular):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                                                                                                                   nº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Cidade/UF: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6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Banco: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Banco: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da Agência: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da Conta Corrente: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ENTIDADE DE REALIZAÇÃO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de Realização: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Cidade/UF: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                                                                                                                   nº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ATENÇÃO!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Preencher este formulário sem deixar perguntas em branco;</w:t>
            </w:r>
          </w:p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Depósito do auxílio, somente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conta corrente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 estudante;</w:t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caso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conta corrente digital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somente será aceito contas de até 09 (nove) dígitos, mais 01 (um) dígito verificador.</w:t>
            </w:r>
          </w:p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CPF deverá ser do próprio estudante; </w:t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Preencher o formulário de forma legível (preferencialmente em letra de forma).</w:t>
            </w:r>
          </w:p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 FIPLAN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não permite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pagamento à pessoa física, jurídica, bolsistas, estagiários e outros,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 poupança.</w:t>
            </w:r>
          </w:p>
        </w:tc>
      </w:tr>
    </w:tbl>
    <w:p w:rsidR="00000000" w:rsidDel="00000000" w:rsidP="00000000" w:rsidRDefault="00000000" w:rsidRPr="00000000" w14:paraId="00000069">
      <w:pPr>
        <w:spacing w:after="0" w:line="36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17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-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9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00, Cáceres - MT</w:t>
          </w:r>
        </w:p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efone Institucional: 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(65)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98120-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0060- 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4" name="image2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3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C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wm4AX4gcsuF+cNtxFWFBx9rhyQ==">CgMxLjAyCWguMzBqMHpsbDIIaC5namRneHM4AHIhMTRJV0s3bTh0dVRYSi1PM2dIWnpDRVFiR1liSGVIUFlm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2024-01-26T20:11:00Z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  <property fmtid="{D5CDD505-2E9C-101B-9397-08002B2CF9AE}" pid="3" name="_DocHome">
    <vt:lpwstr>-1975061218</vt:lpwstr>
  </property>
</Properties>
</file>