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tbl>
      <w:tblPr>
        <w:tblStyle w:val="13"/>
        <w:tblW w:w="9300" w:type="dxa"/>
        <w:tblInd w:w="-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3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ind w:left="-737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ind w:left="-737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DOCUMENTO DE FORMALIZAÇÃO DA DEMANDA - SERVIÇOS</w:t>
            </w:r>
          </w:p>
          <w:p>
            <w:pPr>
              <w:widowControl w:val="0"/>
              <w:spacing w:after="0" w:line="240" w:lineRule="auto"/>
              <w:ind w:left="-737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INFORMAÇÕES PRIMÁRIAS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keepNext w:val="0"/>
        <w:widowControl w:val="0"/>
        <w:spacing w:after="0"/>
        <w:rPr>
          <w:rFonts w:ascii="Arial" w:hAnsi="Arial" w:eastAsia="Arial" w:cs="Arial"/>
          <w:color w:val="000000"/>
          <w:sz w:val="2"/>
          <w:szCs w:val="2"/>
        </w:rPr>
      </w:pPr>
    </w:p>
    <w:tbl>
      <w:tblPr>
        <w:tblStyle w:val="14"/>
        <w:tblW w:w="9285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190"/>
        <w:gridCol w:w="4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1 – ÓRGÃO: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 xml:space="preserve">Universidade do Estado de Mato Grosso Campus Universitário de Jane Vanini </w:t>
            </w:r>
          </w:p>
        </w:tc>
        <w:tc>
          <w:tcPr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2 – Instrumento de Formalização da Demanda nº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 xml:space="preserve"> 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9" w:hRule="atLeast"/>
        </w:trPr>
        <w:tc>
          <w:tcPr>
            <w:vAlign w:val="center"/>
          </w:tcPr>
          <w:p>
            <w:pPr>
              <w:widowControl w:val="0"/>
              <w:shd w:val="clear" w:fill="auto"/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3 – Unidade Orçamentária: 26201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4 – Descrição do tipo de despesa: 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Capacitação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Equipamento de Apoio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Equipamento de TI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Bens Permanentes (patrimoniáveis)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Consultoria/Auditoria/Assessoria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    ) Despesa de Custeio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(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X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) Bens de Consumo (não patrimoniáveis)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4" w:hRule="atLeast"/>
        </w:trPr>
        <w:tc>
          <w:tcPr>
            <w:gridSpan w:val="2"/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 xml:space="preserve">5 – Unidade Solicitante: 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(Nome do Setor)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5.1 – Responsável pela Demanda:                    Matrícula                    Telefone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 xml:space="preserve">(Responsável pelo Setor)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                                    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(000)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                          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(65) 000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5.2 – E-mail e Telefone de Contato: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(email do setor)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36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6 – Objeto: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>
            <w:pPr>
              <w:keepNext w:val="0"/>
              <w:keepLines/>
              <w:widowControl w:val="0"/>
              <w:shd w:val="clear" w:fill="auto"/>
              <w:spacing w:after="0" w:line="36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Contratação de serviço especializado em (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Preencher o serviço que será contratado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7 – Justificativa da necessidade para contratação: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7.1 Justificar o porquê é preciso. (Ex. A contratação do serviço é para manutenção de/reforma de/. Serviço continuado ou não).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7.2 Justificar a consequência da não contratação. (Ex. A não contratação dos serviços acarretará os seguintes problemas….)</w:t>
            </w:r>
          </w:p>
          <w:p>
            <w:pPr>
              <w:widowControl/>
              <w:spacing w:after="0" w:line="36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8 - Alinhamento ao Planejamento Estratégico: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8.1 Considerar o “Planejamento Estratégico”, “Relatório de Orçamento Anual do Setor”.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9 - Justificativa do quantitativo:</w:t>
            </w: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yellow"/>
                <w:rtl w:val="0"/>
              </w:rPr>
              <w:t>Justificar o porquê do quantitativo solicitado, informando como se chegou ao quantitativo almejado, evitando-se justificativas genéricas e preferencialmente com a apresentação de dados que comprovem a quantidade a ser contratada),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71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10 – Quantidade e Especificação:</w:t>
            </w: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10.1 Abaixo segue a descrição dos itens que compõem essa demanda:</w:t>
            </w: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tbl>
            <w:tblPr>
              <w:tblStyle w:val="15"/>
              <w:tblW w:w="912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93"/>
              <w:gridCol w:w="2727"/>
              <w:gridCol w:w="2628"/>
              <w:gridCol w:w="1082"/>
              <w:gridCol w:w="109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1"/>
                      <w:highlight w:val="white"/>
                      <w:rtl w:val="0"/>
                    </w:rPr>
                    <w:t>ITENS 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1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1"/>
                      <w:highlight w:val="white"/>
                      <w:rtl w:val="0"/>
                    </w:rPr>
                    <w:t xml:space="preserve"> CÓD. SIAG 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1"/>
                      <w:sz w:val="20"/>
                      <w:szCs w:val="20"/>
                      <w:highlight w:val="white"/>
                      <w:rtl w:val="0"/>
                    </w:rPr>
                    <w:t>DESCRIÇÃO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1"/>
                      <w:highlight w:val="white"/>
                      <w:rtl w:val="0"/>
                    </w:rPr>
                    <w:t>UND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1"/>
                      <w:highlight w:val="white"/>
                      <w:rtl w:val="0"/>
                    </w:rPr>
                    <w:t xml:space="preserve"> QT. 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1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0"/>
                    </w:rPr>
                    <w:t>01</w:t>
                  </w:r>
                </w:p>
              </w:tc>
              <w:tc>
                <w:tcPr>
                  <w:tcBorders>
                    <w:top w:val="single" w:color="000001" w:sz="8" w:space="0"/>
                    <w:left w:val="single" w:color="000000" w:sz="8" w:space="0"/>
                    <w:bottom w:val="single" w:color="000000" w:sz="6" w:space="0"/>
                    <w:right w:val="single" w:color="000000" w:sz="8" w:space="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keepNext w:val="0"/>
                    <w:shd w:val="clear" w:fill="auto"/>
                    <w:spacing w:before="140"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XXX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before="20" w:after="20" w:line="240" w:lineRule="auto"/>
                    <w:ind w:right="2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XXX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XXX</w:t>
                  </w:r>
                </w:p>
              </w:tc>
              <w:tc>
                <w:tcPr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shd w:val="clear" w:fill="auto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XXX</w:t>
                  </w:r>
                </w:p>
              </w:tc>
            </w:tr>
          </w:tbl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gridSpan w:val="2"/>
            <w:vAlign w:val="center"/>
          </w:tcPr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11 – Prazo para início da execução dos serviços:</w:t>
            </w:r>
          </w:p>
          <w:p>
            <w:pPr>
              <w:keepNext w:val="0"/>
              <w:keepLines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Imediatamente após a emissão da Nota de Empenho e a respectiva emissão da Ordem de Serviço.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gridSpan w:val="2"/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12 – Avaliação Preliminar dos Custos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Os custos devem ser realizados através de pesquisa de preços a ser realizada pela CAC/SC, nos termos da legislação vigente, com o suporte necessário da unidade demandante.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gridSpan w:val="2"/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13 - Vistoria/VIsita Técnica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13.1 -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Devido à natureza do objeto não é aplicável a vistoria/visita técnica.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rtl w:val="0"/>
              </w:rPr>
              <w:t>OU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13.1 -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  <w:rtl w:val="0"/>
              </w:rPr>
              <w:t>Para o correto dimensionamento e elaboração de sua proposta, o fornecedor poderá realizar vistoria nas instalações, acompanhado por colaborador designado para esse fim mediante prévio agendamento de horário junto ao Setor xxxxxxx, por e-mail no endereço: XXXX; ou pelo telefone nos números: (65)XXXXX, de segunda a sexta-feira, das 09 horas às 16 horas.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gridSpan w:val="2"/>
            <w:vAlign w:val="center"/>
          </w:tcPr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>14 – Indicação do responsável pela fiscalização</w:t>
            </w:r>
          </w:p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14.1 -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highlight w:val="white"/>
                <w:rtl w:val="0"/>
              </w:rPr>
              <w:t>Para membros da Equipe de Planejamento, assim como, para gestão e fiscalização do serviço são indicados os seguintes nomes, respectivamente:</w:t>
            </w:r>
          </w:p>
          <w:tbl>
            <w:tblPr>
              <w:tblStyle w:val="16"/>
              <w:tblW w:w="4990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495"/>
              <w:gridCol w:w="2495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 xml:space="preserve">Getor                 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Nome Completo: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Matrícula: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Telefone: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E-mail: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 xml:space="preserve">Fiscal                 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Nome Completo: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Matrícula: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Telefone:</w:t>
                  </w:r>
                </w:p>
                <w:p>
                  <w:pPr>
                    <w:keepNext w:val="0"/>
                    <w:widowControl w:val="0"/>
                    <w:shd w:val="clear" w:fill="auto"/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  <w:rtl w:val="0"/>
                    </w:rPr>
                    <w:t>E-mail: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>
            <w:pPr>
              <w:keepNext w:val="0"/>
              <w:widowControl w:val="0"/>
              <w:shd w:val="clear" w:fill="auto"/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before="0" w:after="0" w:line="240" w:lineRule="auto"/>
        <w:ind w:left="720" w:right="0" w:firstLine="0"/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before="0" w:after="0" w:line="240" w:lineRule="auto"/>
        <w:ind w:left="720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A"/>
          <w:sz w:val="22"/>
          <w:szCs w:val="22"/>
          <w:u w:val="none"/>
          <w:shd w:val="clear" w:fill="auto"/>
          <w:vertAlign w:val="baseline"/>
          <w:rtl w:val="0"/>
        </w:rPr>
        <w:t>Declaro que os servidores indicados, foram comunicados e estão cientes de suas atribuições.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before="0" w:after="0" w:line="240" w:lineRule="auto"/>
        <w:ind w:left="720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A"/>
          <w:sz w:val="22"/>
          <w:szCs w:val="22"/>
          <w:u w:val="none"/>
          <w:shd w:val="clear" w:fill="auto"/>
          <w:vertAlign w:val="baseline"/>
          <w:rtl w:val="0"/>
        </w:rPr>
        <w:t>Os Ofícios de requisições que porventura fizerem parte deste processo serão peças integrantes da formalização da demanda juntamente com este DFD.</w:t>
      </w:r>
    </w:p>
    <w:p>
      <w:pPr>
        <w:keepNext w:val="0"/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after="0" w:line="240" w:lineRule="auto"/>
        <w:ind w:left="360" w:firstLine="0"/>
        <w:jc w:val="both"/>
      </w:pPr>
    </w:p>
    <w:p>
      <w:pPr>
        <w:keepNext w:val="0"/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after="0" w:line="240" w:lineRule="auto"/>
        <w:ind w:left="360" w:firstLine="0"/>
        <w:jc w:val="both"/>
      </w:pPr>
      <w:r>
        <w:rPr>
          <w:rtl w:val="0"/>
        </w:rPr>
        <w:t>Submeto o Documento de Formalização da Demanda para avaliação.</w:t>
      </w:r>
    </w:p>
    <w:p>
      <w:pPr>
        <w:keepNext w:val="0"/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after="0" w:line="240" w:lineRule="auto"/>
        <w:ind w:left="360" w:firstLine="0"/>
        <w:jc w:val="both"/>
      </w:pPr>
    </w:p>
    <w:p>
      <w:pPr>
        <w:keepNext w:val="0"/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b/>
          <w:color w:val="000000"/>
          <w:sz w:val="18"/>
          <w:szCs w:val="18"/>
          <w:highlight w:val="yellow"/>
        </w:rPr>
      </w:pPr>
      <w:r>
        <w:rPr>
          <w:rFonts w:ascii="Arial" w:hAnsi="Arial" w:eastAsia="Arial" w:cs="Arial"/>
          <w:b/>
          <w:color w:val="000000"/>
          <w:sz w:val="18"/>
          <w:szCs w:val="18"/>
          <w:highlight w:val="yellow"/>
          <w:rtl w:val="0"/>
        </w:rPr>
        <w:t>xxxx</w:t>
      </w: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b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000000"/>
          <w:sz w:val="18"/>
          <w:szCs w:val="18"/>
          <w:highlight w:val="yellow"/>
          <w:rtl w:val="0"/>
        </w:rPr>
        <w:t>RESPONSÁVEL PELA FORMALIZAÇÃO DA DEMANDA</w:t>
      </w: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color w:val="000000"/>
          <w:sz w:val="18"/>
          <w:szCs w:val="18"/>
          <w:highlight w:val="yellow"/>
        </w:rPr>
      </w:pPr>
      <w:r>
        <w:rPr>
          <w:rFonts w:ascii="Arial" w:hAnsi="Arial" w:eastAsia="Arial" w:cs="Arial"/>
          <w:color w:val="000000"/>
          <w:sz w:val="18"/>
          <w:szCs w:val="18"/>
          <w:highlight w:val="yellow"/>
          <w:rtl w:val="0"/>
        </w:rPr>
        <w:t>Matrícula</w:t>
      </w: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  <w:rtl w:val="0"/>
        </w:rPr>
        <w:t>UNEMAT - Campus Universitário Jane Vanini</w:t>
      </w: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  <w:rtl w:val="0"/>
        </w:rPr>
        <w:t>Cáceres/MT</w:t>
      </w: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color w:val="000000"/>
          <w:sz w:val="18"/>
          <w:szCs w:val="18"/>
        </w:rPr>
      </w:pPr>
    </w:p>
    <w:p>
      <w:pPr>
        <w:keepNext w:val="0"/>
        <w:widowControl w:val="0"/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0"/>
          <w:szCs w:val="20"/>
          <w:highlight w:val="white"/>
        </w:rPr>
      </w:pPr>
    </w:p>
    <w:p>
      <w:p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70" w:right="1134" w:bottom="567" w:left="1701" w:header="113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Noto Sans Symbol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widowControl w:val="0"/>
      <w:spacing w:after="0"/>
    </w:pPr>
  </w:p>
  <w:p>
    <w:pPr>
      <w:keepNext w:val="0"/>
      <w:widowControl w:val="0"/>
      <w:tabs>
        <w:tab w:val="center" w:pos="4419"/>
        <w:tab w:val="right" w:pos="8838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widowControl w:val="0"/>
      <w:spacing w:after="0"/>
      <w:rPr>
        <w:rFonts w:ascii="Arial" w:hAnsi="Arial" w:eastAsia="Arial" w:cs="Arial"/>
        <w:color w:val="000000"/>
        <w:sz w:val="20"/>
        <w:szCs w:val="20"/>
      </w:rPr>
    </w:pPr>
    <w: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196215</wp:posOffset>
          </wp:positionV>
          <wp:extent cx="781050" cy="831850"/>
          <wp:effectExtent l="0" t="0" r="0" b="0"/>
          <wp:wrapSquare wrapText="bothSides"/>
          <wp:docPr id="1" name="image1.jpg" descr="brasao_unemat_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brasao_unemat_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31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923925" cy="8255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17"/>
      <w:tblW w:w="9285" w:type="dxa"/>
      <w:tblInd w:w="-10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15" w:type="dxa"/>
        <w:left w:w="108" w:type="dxa"/>
        <w:bottom w:w="15" w:type="dxa"/>
        <w:right w:w="108" w:type="dxa"/>
      </w:tblCellMar>
    </w:tblPr>
    <w:tblGrid>
      <w:gridCol w:w="1665"/>
      <w:gridCol w:w="5970"/>
      <w:gridCol w:w="165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5" w:type="dxa"/>
          <w:left w:w="108" w:type="dxa"/>
          <w:bottom w:w="15" w:type="dxa"/>
          <w:right w:w="108" w:type="dxa"/>
        </w:tblCellMar>
      </w:tblPrEx>
      <w:trPr>
        <w:trHeight w:val="1513" w:hRule="atLeast"/>
      </w:trPr>
      <w:tc>
        <w:tcPr>
          <w:shd w:val="clear" w:color="auto" w:fill="auto"/>
        </w:tcPr>
        <w:p>
          <w:pPr>
            <w:keepNext w:val="0"/>
            <w:widowControl w:val="0"/>
            <w:shd w:val="clear" w:fill="auto"/>
            <w:tabs>
              <w:tab w:val="center" w:pos="3250"/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</w:rPr>
          </w:pPr>
        </w:p>
      </w:tc>
      <w:tc>
        <w:tcPr>
          <w:shd w:val="clear" w:color="auto" w:fill="auto"/>
        </w:tcPr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  <w:rtl w:val="0"/>
            </w:rPr>
            <w:t>ESTADO DE MATO GROSSO</w:t>
          </w:r>
        </w:p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  <w:rtl w:val="0"/>
            </w:rPr>
            <w:t>SECRETARIA DE ESTADO DE CIÊNCIA, TECNOLOGIA E INOVAÇÃO</w:t>
          </w:r>
        </w:p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  <w:rtl w:val="0"/>
            </w:rPr>
            <w:t>UNIVERSIDADE DO ESTADO DE MATO GROSSO</w:t>
          </w:r>
        </w:p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  <w:rtl w:val="0"/>
            </w:rPr>
            <w:t>CAMPUS UNIVERSITÁRIO JANE VANINI</w:t>
          </w:r>
        </w:p>
        <w:p>
          <w:pPr>
            <w:keepNext w:val="0"/>
            <w:widowControl w:val="0"/>
            <w:spacing w:after="0" w:line="240" w:lineRule="auto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  <w:rtl w:val="0"/>
            </w:rPr>
            <w:t>DOCUMENTO DE FORMALIZAÇÃO DA DEMANDA - DFD</w:t>
          </w:r>
        </w:p>
        <w:p>
          <w:pPr>
            <w:keepNext w:val="0"/>
            <w:widowControl w:val="0"/>
            <w:spacing w:after="0" w:line="240" w:lineRule="auto"/>
            <w:jc w:val="center"/>
            <w:rPr>
              <w:rFonts w:ascii="Arial" w:hAnsi="Arial" w:eastAsia="Arial" w:cs="Arial"/>
              <w:b/>
              <w:sz w:val="20"/>
              <w:szCs w:val="20"/>
              <w:highlight w:val="yellow"/>
            </w:rPr>
          </w:pPr>
          <w:r>
            <w:rPr>
              <w:rFonts w:ascii="Arial" w:hAnsi="Arial" w:eastAsia="Arial" w:cs="Arial"/>
              <w:b/>
              <w:sz w:val="20"/>
              <w:szCs w:val="20"/>
              <w:highlight w:val="yellow"/>
              <w:rtl w:val="0"/>
            </w:rPr>
            <w:t>SETOR XXX</w:t>
          </w:r>
        </w:p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</w:p>
      </w:tc>
      <w:tc>
        <w:tcPr>
          <w:shd w:val="clear" w:color="auto" w:fill="auto"/>
        </w:tcPr>
        <w:p>
          <w:pPr>
            <w:keepNext w:val="0"/>
            <w:widowControl w:val="0"/>
            <w:shd w:val="clear" w:fill="auto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>
    <w:pPr>
      <w:keepNext w:val="0"/>
      <w:tabs>
        <w:tab w:val="center" w:pos="4252"/>
        <w:tab w:val="right" w:pos="8504"/>
      </w:tabs>
      <w:spacing w:after="0" w:line="240" w:lineRule="auto"/>
      <w:rPr>
        <w:rFonts w:ascii="Arial" w:hAnsi="Arial" w:eastAsia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F6B84"/>
    <w:multiLevelType w:val="multilevel"/>
    <w:tmpl w:val="7BFF6B84"/>
    <w:lvl w:ilvl="0" w:tentative="0">
      <w:start w:val="1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AF770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/>
      <w:shd w:val="clear" w:fill="FFFFFF"/>
      <w:spacing w:after="200" w:line="276" w:lineRule="auto"/>
    </w:pPr>
    <w:rPr>
      <w:rFonts w:ascii="Calibri" w:hAnsi="Calibri" w:eastAsia="Calibri" w:cs="Calibri"/>
      <w:color w:val="00000A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widowControl w:val="0"/>
    </w:p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widowControl w:val="0"/>
    </w:p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5">
    <w:name w:val="_Style 12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pPr>
      <w:widowControl w:val="0"/>
    </w:pPr>
    <w:tblPr>
      <w:tblCellMar>
        <w:top w:w="15" w:type="dxa"/>
        <w:left w:w="108" w:type="dxa"/>
        <w:bottom w:w="15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2023-07-10T15:37:30Z</dcterms:created>
  <dc:creator>usuario</dc:creator>
  <cp:lastModifiedBy>usuario</cp:lastModifiedBy>
  <dcterms:modified xsi:type="dcterms:W3CDTF">2023-07-10T15:38:04Z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